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4E2F7D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4E2F7D" w:rsidP="004E2F7D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30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540D4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6F8F4C9" wp14:editId="67D37D3D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4E2F7D" w:rsidP="008B246F">
      <w:pPr>
        <w:jc w:val="both"/>
        <w:rPr>
          <w:b/>
        </w:rPr>
      </w:pPr>
      <w:r>
        <w:rPr>
          <w:b/>
        </w:rPr>
        <w:t>Şubat</w:t>
      </w:r>
      <w:r w:rsidR="00D07D01" w:rsidRPr="009C3D5A">
        <w:rPr>
          <w:b/>
        </w:rPr>
        <w:t xml:space="preserve"> 201</w:t>
      </w:r>
      <w:r w:rsidR="008974F5">
        <w:rPr>
          <w:b/>
        </w:rPr>
        <w:t>8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 tarafından 30</w:t>
      </w:r>
      <w:r w:rsidR="00540D42">
        <w:rPr>
          <w:b/>
        </w:rPr>
        <w:t xml:space="preserve"> </w:t>
      </w:r>
      <w:r>
        <w:rPr>
          <w:b/>
        </w:rPr>
        <w:t>Mart</w:t>
      </w:r>
      <w:r w:rsidR="00D07D01" w:rsidRPr="009C3D5A">
        <w:rPr>
          <w:b/>
        </w:rPr>
        <w:t xml:space="preserve"> 201</w:t>
      </w:r>
      <w:r w:rsidR="00540D42">
        <w:rPr>
          <w:b/>
        </w:rPr>
        <w:t>8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4E2F7D" w:rsidP="008B246F">
      <w:pPr>
        <w:jc w:val="both"/>
      </w:pPr>
      <w:r>
        <w:t>Şubat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9 artarak 13</w:t>
      </w:r>
      <w:r w:rsidR="00764636" w:rsidRPr="009C3D5A">
        <w:t xml:space="preserve"> milyar</w:t>
      </w:r>
      <w:r w:rsidR="005C02CC">
        <w:t xml:space="preserve"> </w:t>
      </w:r>
      <w:r>
        <w:t>1</w:t>
      </w:r>
      <w:r w:rsidR="008974F5">
        <w:t>7</w:t>
      </w:r>
      <w:r>
        <w:t>6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Şubat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19,7</w:t>
      </w:r>
      <w:r w:rsidR="005C02CC">
        <w:t xml:space="preserve"> artarak </w:t>
      </w:r>
      <w:r w:rsidR="008974F5">
        <w:t>1</w:t>
      </w:r>
      <w:r>
        <w:t>8</w:t>
      </w:r>
      <w:r w:rsidR="00DB20D7">
        <w:t xml:space="preserve"> milyar</w:t>
      </w:r>
      <w:r w:rsidR="00047A3E">
        <w:t xml:space="preserve"> </w:t>
      </w:r>
      <w:r>
        <w:t>936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 w:rsidR="00540D42">
        <w:t xml:space="preserve">Buna göre </w:t>
      </w:r>
      <w:r>
        <w:t>Şubat</w:t>
      </w:r>
      <w:r w:rsidR="00DB20D7">
        <w:t xml:space="preserve"> ayı dış ticaret açığı,</w:t>
      </w:r>
      <w:r w:rsidR="008B246F" w:rsidRPr="009C3D5A">
        <w:t xml:space="preserve"> yüzde </w:t>
      </w:r>
      <w:r>
        <w:t>54,2</w:t>
      </w:r>
      <w:r w:rsidR="00024E59" w:rsidRPr="009C3D5A">
        <w:t xml:space="preserve"> </w:t>
      </w:r>
      <w:r w:rsidR="00676E49">
        <w:t>arta</w:t>
      </w:r>
      <w:r w:rsidR="00DB20D7">
        <w:t>rak</w:t>
      </w:r>
      <w:r w:rsidR="00024E59" w:rsidRPr="009C3D5A">
        <w:t xml:space="preserve"> </w:t>
      </w:r>
      <w:r>
        <w:t>5</w:t>
      </w:r>
      <w:r w:rsidR="00024E59" w:rsidRPr="009C3D5A">
        <w:t xml:space="preserve"> milyar </w:t>
      </w:r>
      <w:r w:rsidR="008974F5">
        <w:t>7</w:t>
      </w:r>
      <w:r>
        <w:t>61</w:t>
      </w:r>
      <w:r w:rsidR="00DB20D7">
        <w:t xml:space="preserve"> milyon dolar</w:t>
      </w:r>
      <w:r w:rsidR="00676E49">
        <w:t xml:space="preserve">a yükseldi. </w:t>
      </w:r>
      <w:r w:rsidR="008974F5">
        <w:t>2017</w:t>
      </w:r>
      <w:r w:rsidR="00EB5E5C">
        <w:t xml:space="preserve"> </w:t>
      </w:r>
      <w:r>
        <w:t>Şubat</w:t>
      </w:r>
      <w:r w:rsidR="00540D42">
        <w:t xml:space="preserve"> ayında yüzde </w:t>
      </w:r>
      <w:r>
        <w:t>76,4</w:t>
      </w:r>
      <w:r w:rsidR="00CA6A1E">
        <w:t xml:space="preserve"> </w:t>
      </w:r>
      <w:r w:rsidR="0023568E">
        <w:t>olan ihracatın itha</w:t>
      </w:r>
      <w:r w:rsidR="00CA6A1E">
        <w:t>latı karşılama oranı ise 2018</w:t>
      </w:r>
      <w:r w:rsidR="00EB5E5C">
        <w:t xml:space="preserve"> </w:t>
      </w:r>
      <w:r>
        <w:t>Şubat</w:t>
      </w:r>
      <w:r w:rsidR="00047A3E">
        <w:t xml:space="preserve"> ayında yüzde </w:t>
      </w:r>
      <w:r>
        <w:t xml:space="preserve">69,6’ya </w:t>
      </w:r>
      <w:r w:rsidR="00EB5E5C">
        <w:t>düştü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 xml:space="preserve"> Ocak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>-2018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bookmarkStart w:id="0" w:name="_GoBack"/>
      <w:bookmarkEnd w:id="0"/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714CDE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21485C89" wp14:editId="17450673">
            <wp:extent cx="5857875" cy="2057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 xml:space="preserve"> Ocak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>-2018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97436F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714CDE" w:rsidRDefault="00714CDE" w:rsidP="00DB359A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23D43A15" wp14:editId="63DA95AE">
            <wp:extent cx="5857875" cy="200025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Pr="002C7332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Pr="002C7332" w:rsidRDefault="00E86C2E" w:rsidP="002C7332">
      <w:pPr>
        <w:jc w:val="both"/>
      </w:pPr>
      <w:r w:rsidRPr="00E86C2E">
        <w:t>İhracat rakamları</w:t>
      </w:r>
      <w:r w:rsidR="002C7332">
        <w:t xml:space="preserve"> 2018’in ikinci</w:t>
      </w:r>
      <w:r w:rsidR="00CA6A1E">
        <w:t xml:space="preserve"> ayında b</w:t>
      </w:r>
      <w:r>
        <w:t xml:space="preserve">ir önceki aya göre </w:t>
      </w:r>
      <w:r w:rsidR="00E0516C">
        <w:t>yüzde</w:t>
      </w:r>
      <w:r w:rsidR="00BC0061">
        <w:t xml:space="preserve"> </w:t>
      </w:r>
      <w:r w:rsidR="002C7332">
        <w:t>5,9</w:t>
      </w:r>
      <w:r>
        <w:t>; bir önceki yı</w:t>
      </w:r>
      <w:r w:rsidR="00E0516C">
        <w:t xml:space="preserve">lın aynı </w:t>
      </w:r>
      <w:r w:rsidR="002C7332">
        <w:t>dönemine</w:t>
      </w:r>
      <w:r w:rsidR="00E0516C">
        <w:t xml:space="preserve"> göre ise yüzde</w:t>
      </w:r>
      <w:r w:rsidR="00913A90">
        <w:t xml:space="preserve"> </w:t>
      </w:r>
      <w:r w:rsidR="002C7332">
        <w:t>9</w:t>
      </w:r>
      <w:r w:rsidR="00BC0061">
        <w:t xml:space="preserve"> artış</w:t>
      </w:r>
      <w:r>
        <w:t xml:space="preserve"> göster</w:t>
      </w:r>
      <w:r w:rsidR="002C7332">
        <w:t>irken, 13,2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>
        <w:t xml:space="preserve"> </w:t>
      </w:r>
      <w:r w:rsidR="00CA6A1E">
        <w:t>2018</w:t>
      </w:r>
      <w:r w:rsidR="00DB359A">
        <w:t xml:space="preserve"> yılına düş</w:t>
      </w:r>
      <w:r>
        <w:t xml:space="preserve">üşle başlayan ithalat rakamları </w:t>
      </w:r>
      <w:r w:rsidR="002C7332">
        <w:t>2018</w:t>
      </w:r>
      <w:r w:rsidR="00DB359A" w:rsidRPr="009C3D5A">
        <w:t xml:space="preserve"> </w:t>
      </w:r>
      <w:r w:rsidR="002C7332">
        <w:t>Ocak</w:t>
      </w:r>
      <w:r w:rsidR="00CA6A1E">
        <w:t xml:space="preserve"> </w:t>
      </w:r>
      <w:r w:rsidR="000174DC">
        <w:t xml:space="preserve">ayında </w:t>
      </w:r>
      <w:r w:rsidR="00EC602A">
        <w:t>2</w:t>
      </w:r>
      <w:r w:rsidR="002C7332">
        <w:t>1,5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DB359A" w:rsidRPr="009C3D5A">
        <w:t xml:space="preserve"> yüz</w:t>
      </w:r>
      <w:r w:rsidR="00CA6A1E">
        <w:t xml:space="preserve">de </w:t>
      </w:r>
      <w:r w:rsidR="002C7332">
        <w:t>12</w:t>
      </w:r>
      <w:r w:rsidR="00CA6A1E">
        <w:t xml:space="preserve"> azalış</w:t>
      </w:r>
      <w:r w:rsidR="00EC602A">
        <w:t xml:space="preserve"> ile</w:t>
      </w:r>
      <w:r w:rsidR="000174DC">
        <w:t xml:space="preserve"> </w:t>
      </w:r>
      <w:r w:rsidR="002C7332">
        <w:t>Şubat</w:t>
      </w:r>
      <w:r w:rsidR="00CA6A1E">
        <w:t xml:space="preserve"> ayında 1</w:t>
      </w:r>
      <w:r w:rsidR="002C7332">
        <w:t>8,9</w:t>
      </w:r>
      <w:r w:rsidR="00EC602A">
        <w:t xml:space="preserve"> </w:t>
      </w:r>
      <w:r w:rsidR="00DB359A" w:rsidRPr="009C3D5A">
        <w:t>milyar dolar</w:t>
      </w:r>
      <w:r w:rsidR="001F4B97">
        <w:t xml:space="preserve"> olarak gerçekleşti</w:t>
      </w:r>
      <w:r w:rsidR="00CA6A1E">
        <w:t>.</w:t>
      </w:r>
      <w:r w:rsidR="00DB359A" w:rsidRPr="009C3D5A">
        <w:t xml:space="preserve"> </w:t>
      </w: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D308FB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(2018 </w:t>
      </w:r>
      <w:r w:rsidR="00117F24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2043"/>
      </w:tblGrid>
      <w:tr w:rsidR="00587E0B" w:rsidRPr="00587E0B" w:rsidTr="00913A90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1.358.552.282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863.926.080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İngiltere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840.408.429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665.516.024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626.730.848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604.192.761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563.292.380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387.883.204</w:t>
            </w:r>
          </w:p>
        </w:tc>
      </w:tr>
      <w:tr w:rsidR="00714CDE" w:rsidRPr="00587E0B" w:rsidTr="00AA32ED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Belçika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714CDE">
            <w:pPr>
              <w:jc w:val="center"/>
            </w:pPr>
            <w:r w:rsidRPr="00613C21">
              <w:t>336.166.828</w:t>
            </w:r>
          </w:p>
        </w:tc>
      </w:tr>
      <w:tr w:rsidR="00714CDE" w:rsidRPr="00587E0B" w:rsidTr="00AA32ED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613C21" w:rsidRDefault="00714CDE" w:rsidP="00FE5BA4">
            <w:r w:rsidRPr="00613C21">
              <w:t>İsrail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Default="00714CDE" w:rsidP="00714CDE">
            <w:pPr>
              <w:jc w:val="center"/>
            </w:pPr>
            <w:r w:rsidRPr="00613C21">
              <w:t>332.789.935</w:t>
            </w:r>
          </w:p>
        </w:tc>
      </w:tr>
    </w:tbl>
    <w:tbl>
      <w:tblPr>
        <w:tblpPr w:leftFromText="141" w:rightFromText="141" w:vertAnchor="text" w:horzAnchor="page" w:tblpX="5181" w:tblpY="-5468"/>
        <w:tblW w:w="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2127"/>
      </w:tblGrid>
      <w:tr w:rsidR="00913A90" w:rsidRPr="00587E0B" w:rsidTr="00913A90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Çin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1.862.865.371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Rusya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1.811.639.941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Almanya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1.663.243.481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875.234.915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874.470.931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871.533.173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Gizli Ülke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827.411.221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İngiltere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799.193.306</w:t>
            </w:r>
          </w:p>
        </w:tc>
      </w:tr>
      <w:tr w:rsidR="00714CDE" w:rsidRPr="00587E0B" w:rsidTr="0068537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Hindistan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714CDE">
            <w:pPr>
              <w:jc w:val="center"/>
            </w:pPr>
            <w:r w:rsidRPr="00AE6AA7">
              <w:t>595.300.841</w:t>
            </w:r>
          </w:p>
        </w:tc>
      </w:tr>
      <w:tr w:rsidR="00714CDE" w:rsidRPr="00587E0B" w:rsidTr="0068537C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14CDE" w:rsidRPr="00587E0B" w:rsidRDefault="00714CDE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Pr="00AE6AA7" w:rsidRDefault="00714CDE" w:rsidP="005D2C27">
            <w:r w:rsidRPr="00AE6AA7">
              <w:t>İran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CDE" w:rsidRDefault="00714CDE" w:rsidP="00714CDE">
            <w:pPr>
              <w:jc w:val="center"/>
            </w:pPr>
            <w:r w:rsidRPr="00AE6AA7">
              <w:t>568.090.473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Pr="00AB4023" w:rsidRDefault="008D17ED" w:rsidP="00AB4023">
      <w:pPr>
        <w:jc w:val="both"/>
      </w:pPr>
      <w:r>
        <w:t xml:space="preserve">Türkiye, </w:t>
      </w:r>
      <w:r w:rsidR="00CC376F" w:rsidRPr="009C3D5A">
        <w:t>201</w:t>
      </w:r>
      <w:r w:rsidR="00CA6A1E">
        <w:t>8</w:t>
      </w:r>
      <w:r w:rsidR="00CC376F" w:rsidRPr="009C3D5A">
        <w:t xml:space="preserve"> </w:t>
      </w:r>
      <w:r w:rsidR="00714CDE">
        <w:t>Şubat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714CDE">
        <w:t>,36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714CDE">
        <w:t>863,9</w:t>
      </w:r>
      <w:r w:rsidR="006E7CD2" w:rsidRPr="009C3D5A">
        <w:t xml:space="preserve"> </w:t>
      </w:r>
      <w:r w:rsidR="00E50701">
        <w:t>milyon</w:t>
      </w:r>
      <w:r w:rsidR="006E7CD2" w:rsidRPr="009C3D5A">
        <w:t xml:space="preserve"> dolar ile</w:t>
      </w:r>
      <w:r w:rsidR="006006DA">
        <w:t xml:space="preserve"> </w:t>
      </w:r>
      <w:r w:rsidR="00F53242">
        <w:t>İ</w:t>
      </w:r>
      <w:r w:rsidR="00714CDE">
        <w:t>talya</w:t>
      </w:r>
      <w:r w:rsidR="00955246" w:rsidRPr="009C3D5A">
        <w:t xml:space="preserve">, </w:t>
      </w:r>
      <w:r w:rsidR="00714CDE">
        <w:t>840,4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</w:t>
      </w:r>
      <w:r w:rsidR="00714CDE">
        <w:t>ngiltere</w:t>
      </w:r>
      <w:r w:rsidR="00955246" w:rsidRPr="009C3D5A">
        <w:t xml:space="preserve"> ve</w:t>
      </w:r>
      <w:r w:rsidR="006E7CD2" w:rsidRPr="009C3D5A">
        <w:t xml:space="preserve"> </w:t>
      </w:r>
      <w:r w:rsidR="00714CDE">
        <w:t>665,5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</w:t>
      </w:r>
      <w:r w:rsidR="00714CDE">
        <w:t>ABD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CA6A1E">
        <w:t>Çin</w:t>
      </w:r>
      <w:r w:rsidR="006006DA">
        <w:t xml:space="preserve"> lider konumdadır.</w:t>
      </w:r>
      <w:r w:rsidR="00CA6A1E">
        <w:t xml:space="preserve"> Türkiye’nin 2018</w:t>
      </w:r>
      <w:r w:rsidR="006D5432" w:rsidRPr="009C3D5A">
        <w:t xml:space="preserve"> </w:t>
      </w:r>
      <w:r w:rsidR="00714CDE">
        <w:t>Şubat</w:t>
      </w:r>
      <w:r w:rsidR="00955246" w:rsidRPr="009C3D5A">
        <w:t xml:space="preserve"> </w:t>
      </w:r>
      <w:r w:rsidR="00587E0B">
        <w:t xml:space="preserve">ayında </w:t>
      </w:r>
      <w:r w:rsidR="00CA6A1E">
        <w:t>Çin’den</w:t>
      </w:r>
      <w:r w:rsidR="00955246" w:rsidRPr="009C3D5A">
        <w:t xml:space="preserve"> yaptığı ithalat </w:t>
      </w:r>
      <w:r w:rsidR="00714CDE">
        <w:t>1,86</w:t>
      </w:r>
      <w:r w:rsidR="00955246" w:rsidRPr="009C3D5A">
        <w:t xml:space="preserve"> milyar dolar olup </w:t>
      </w:r>
      <w:r w:rsidR="00CA6A1E">
        <w:t>Çin’i</w:t>
      </w:r>
      <w:r w:rsidR="00955246" w:rsidRPr="009C3D5A">
        <w:t xml:space="preserve"> sırası ile </w:t>
      </w:r>
      <w:r w:rsidR="00714CDE">
        <w:t>1</w:t>
      </w:r>
      <w:r w:rsidR="006D5432" w:rsidRPr="009C3D5A">
        <w:t>,</w:t>
      </w:r>
      <w:r w:rsidR="00714CDE">
        <w:t>81</w:t>
      </w:r>
      <w:r w:rsidR="003D0EA9" w:rsidRPr="009C3D5A">
        <w:t xml:space="preserve"> milyar dolar ile </w:t>
      </w:r>
      <w:r w:rsidR="00CA6A1E">
        <w:t>Rusya</w:t>
      </w:r>
      <w:r w:rsidR="00955246" w:rsidRPr="009C3D5A">
        <w:t xml:space="preserve">, </w:t>
      </w:r>
      <w:r w:rsidR="006D5432" w:rsidRPr="009C3D5A">
        <w:t>1,</w:t>
      </w:r>
      <w:r w:rsidR="00714CDE">
        <w:t>66</w:t>
      </w:r>
      <w:r w:rsidR="003D0EA9" w:rsidRPr="009C3D5A">
        <w:t xml:space="preserve"> milyar dolar ile </w:t>
      </w:r>
      <w:r w:rsidR="00CA6A1E">
        <w:t>Almanya</w:t>
      </w:r>
      <w:r w:rsidR="00E50701">
        <w:t xml:space="preserve"> ve </w:t>
      </w:r>
      <w:r w:rsidR="00714CDE">
        <w:t>875,2</w:t>
      </w:r>
      <w:r w:rsidR="00DA7CF5">
        <w:t xml:space="preserve"> milyar</w:t>
      </w:r>
      <w:r w:rsidR="003D0EA9" w:rsidRPr="009C3D5A">
        <w:t xml:space="preserve"> dolar ile </w:t>
      </w:r>
      <w:r w:rsidR="00714CDE">
        <w:t>Fransa</w:t>
      </w:r>
      <w:r w:rsidR="00F53242">
        <w:t xml:space="preserve"> 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>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AB4023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62"/>
        <w:gridCol w:w="7190"/>
        <w:gridCol w:w="1511"/>
      </w:tblGrid>
      <w:tr w:rsidR="00913A90" w:rsidRPr="00E57C88" w:rsidTr="00AB4023">
        <w:trPr>
          <w:trHeight w:val="2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2.307.188.322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1.243.702.610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proofErr w:type="spellStart"/>
            <w:r w:rsidRPr="00504807">
              <w:t>Teksitil</w:t>
            </w:r>
            <w:proofErr w:type="spellEnd"/>
            <w:r w:rsidRPr="00504807">
              <w:t xml:space="preserve">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982.746.699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961.509.903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 xml:space="preserve">Elektrik </w:t>
            </w:r>
            <w:proofErr w:type="spellStart"/>
            <w:proofErr w:type="gramStart"/>
            <w:r w:rsidRPr="00504807">
              <w:t>makinaları,cihazları</w:t>
            </w:r>
            <w:proofErr w:type="spellEnd"/>
            <w:proofErr w:type="gramEnd"/>
            <w:r w:rsidRPr="00504807">
              <w:t xml:space="preserve"> ve aletleri, </w:t>
            </w:r>
            <w:proofErr w:type="spellStart"/>
            <w:r w:rsidRPr="00504807">
              <w:t>vb.aksam,parçaları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753.900.974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585.646.344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 xml:space="preserve">Demir, çelik, bakır, nikel, </w:t>
            </w:r>
            <w:proofErr w:type="spellStart"/>
            <w:r w:rsidRPr="00504807">
              <w:t>aluminyum</w:t>
            </w:r>
            <w:proofErr w:type="spellEnd"/>
            <w:r w:rsidRPr="00504807">
              <w:t xml:space="preserve">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552.350.629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 xml:space="preserve">Başka yerde belirtilmeyen çeşitli </w:t>
            </w:r>
            <w:proofErr w:type="spellStart"/>
            <w:r w:rsidRPr="00504807">
              <w:t>mamül</w:t>
            </w:r>
            <w:proofErr w:type="spellEnd"/>
            <w:r w:rsidRPr="00504807">
              <w:t xml:space="preserve">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540.397.982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412.399.424</w:t>
            </w:r>
          </w:p>
        </w:tc>
      </w:tr>
      <w:tr w:rsidR="00AB4023" w:rsidRPr="00E57C88" w:rsidTr="00AB402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504807" w:rsidRDefault="00AB4023" w:rsidP="001957B0">
            <w:r w:rsidRPr="00504807">
              <w:t>Güç üreten makineler ve araçlar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Default="00AB4023" w:rsidP="001957B0">
            <w:r w:rsidRPr="00504807">
              <w:t>298.793.152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7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62"/>
        <w:gridCol w:w="7190"/>
        <w:gridCol w:w="1511"/>
      </w:tblGrid>
      <w:tr w:rsidR="00E57C88" w:rsidRPr="00E57C88" w:rsidTr="00AB4023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Gizli veri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1.885.083.517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1.127.886.605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proofErr w:type="spellStart"/>
            <w:proofErr w:type="gramStart"/>
            <w:r w:rsidRPr="00D24B1A">
              <w:t>Altın,parasal</w:t>
            </w:r>
            <w:proofErr w:type="spellEnd"/>
            <w:proofErr w:type="gramEnd"/>
            <w:r w:rsidRPr="00D24B1A">
              <w:t xml:space="preserve"> olmayan (altın madeni ve konsantreleri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1.009.548.047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989.481.103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933.142.223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910.581.971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 xml:space="preserve">Elektrik </w:t>
            </w:r>
            <w:proofErr w:type="spellStart"/>
            <w:proofErr w:type="gramStart"/>
            <w:r w:rsidRPr="00D24B1A">
              <w:t>makinaları,cihazları</w:t>
            </w:r>
            <w:proofErr w:type="spellEnd"/>
            <w:proofErr w:type="gramEnd"/>
            <w:r w:rsidRPr="00D24B1A">
              <w:t xml:space="preserve"> ve aletleri, </w:t>
            </w:r>
            <w:proofErr w:type="spellStart"/>
            <w:r w:rsidRPr="00D24B1A">
              <w:t>vb.aksam,parçaları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844.430.976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784.200.532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719.830.967</w:t>
            </w:r>
          </w:p>
        </w:tc>
      </w:tr>
      <w:tr w:rsidR="00AB4023" w:rsidRPr="00E57C88" w:rsidTr="00AB402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B4023" w:rsidRPr="00E57C88" w:rsidRDefault="00AB4023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Pr="00D24B1A" w:rsidRDefault="00AB4023" w:rsidP="003F6B59">
            <w:r w:rsidRPr="00D24B1A">
              <w:t>Demir ihtiva etmeyen madenler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23" w:rsidRDefault="00AB4023" w:rsidP="003F6B59">
            <w:r w:rsidRPr="00D24B1A">
              <w:t>717.294.986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Pr="00AB4023" w:rsidRDefault="00C56530" w:rsidP="005123EB">
      <w:pPr>
        <w:jc w:val="both"/>
      </w:pPr>
      <w:r>
        <w:br/>
      </w:r>
      <w:r w:rsidR="00D074EA" w:rsidRPr="009C3D5A">
        <w:t>Se</w:t>
      </w:r>
      <w:r w:rsidR="006306C8">
        <w:t>ktörel ihracatta</w:t>
      </w:r>
      <w:r w:rsidR="00D074EA">
        <w:t>, 201</w:t>
      </w:r>
      <w:r w:rsidR="00DA63E7">
        <w:t>8</w:t>
      </w:r>
      <w:r w:rsidR="00D074EA" w:rsidRPr="009C3D5A">
        <w:t xml:space="preserve"> </w:t>
      </w:r>
      <w:r w:rsidR="00AB4023">
        <w:t>Şubat</w:t>
      </w:r>
      <w:r w:rsidR="005123EB">
        <w:t xml:space="preserve"> </w:t>
      </w:r>
      <w:r w:rsidR="00801235">
        <w:t xml:space="preserve">ayında </w:t>
      </w:r>
      <w:r w:rsidR="00AB4023">
        <w:t>2,3</w:t>
      </w:r>
      <w:r w:rsidR="00DA63E7">
        <w:t>1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AB4023">
        <w:t>4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AB4023">
        <w:t>982,7</w:t>
      </w:r>
      <w:r w:rsidR="00DA63E7">
        <w:t xml:space="preserve"> milyon</w:t>
      </w:r>
      <w:r w:rsidR="00F727B6">
        <w:t xml:space="preserve"> </w:t>
      </w:r>
      <w:r w:rsidR="00D074EA" w:rsidRPr="009C3D5A">
        <w:t xml:space="preserve">dolar 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>
        <w:t xml:space="preserve"> </w:t>
      </w:r>
      <w:r w:rsidR="00D074EA" w:rsidRPr="009C3D5A">
        <w:t xml:space="preserve">ihracatı takip etmektedir. İthalatta ise </w:t>
      </w:r>
      <w:r w:rsidR="00AB4023">
        <w:t>ilk sırayı 1,8</w:t>
      </w:r>
      <w:r w:rsidR="006D5B37">
        <w:t>9</w:t>
      </w:r>
      <w:r w:rsidR="005123EB">
        <w:t xml:space="preserve"> milyar dolarlık ithalat ile </w:t>
      </w:r>
      <w:r w:rsidR="00AB4023" w:rsidRPr="002117E9">
        <w:t>aç</w:t>
      </w:r>
      <w:r w:rsidR="00AB4023">
        <w:t>ıklanmayan (Gizli veri) ürünler</w:t>
      </w:r>
      <w:r w:rsidR="005123EB">
        <w:t xml:space="preserve"> alırken, </w:t>
      </w:r>
      <w:r w:rsidR="00AB4023">
        <w:t>onu 1</w:t>
      </w:r>
      <w:r w:rsidR="00801235">
        <w:t>,</w:t>
      </w:r>
      <w:r w:rsidR="00AB4023">
        <w:t>13</w:t>
      </w:r>
      <w:r w:rsidR="00801235">
        <w:t xml:space="preserve"> milyar dolar ile </w:t>
      </w:r>
      <w:r w:rsidR="00AB4023">
        <w:t>m</w:t>
      </w:r>
      <w:r w:rsidR="00AB4023" w:rsidRPr="009E6645">
        <w:t>oto</w:t>
      </w:r>
      <w:r w:rsidR="00AB4023">
        <w:t>rlu kara taşıtları, bisiklet ve</w:t>
      </w:r>
      <w:r w:rsidR="00AB4023" w:rsidRPr="009E6645">
        <w:t xml:space="preserve"> motosikletler, bunların aksam ve parçası</w:t>
      </w:r>
      <w:r w:rsidR="00AB4023">
        <w:t xml:space="preserve"> </w:t>
      </w:r>
      <w:r w:rsidR="005123EB">
        <w:t>ve 1,</w:t>
      </w:r>
      <w:r w:rsidR="00AB4023">
        <w:t>01</w:t>
      </w:r>
      <w:r w:rsidR="00801235">
        <w:t xml:space="preserve"> milyar dolarlık ithalatı ile </w:t>
      </w:r>
      <w:r w:rsidR="00AB4023">
        <w:t>a</w:t>
      </w:r>
      <w:r w:rsidR="00AB4023" w:rsidRPr="00AB4023">
        <w:t xml:space="preserve">ltın, parasal olmayan (altın madeni ve </w:t>
      </w:r>
      <w:proofErr w:type="gramStart"/>
      <w:r w:rsidR="00AB4023" w:rsidRPr="00AB4023">
        <w:t>konsantreleri</w:t>
      </w:r>
      <w:proofErr w:type="gramEnd"/>
      <w:r w:rsidR="00AB4023" w:rsidRPr="00AB4023">
        <w:t xml:space="preserve"> hariç)</w:t>
      </w:r>
      <w:r w:rsidR="005123EB" w:rsidRPr="00AB4023">
        <w:t xml:space="preserve"> 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AB4023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2,9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AB4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33,5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AB4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30,2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AB4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33,4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AB4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AB4023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AB40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42,4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29,5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AB402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12,1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0048F7">
        <w:t xml:space="preserve"> 2018</w:t>
      </w:r>
      <w:r w:rsidRPr="009C3D5A">
        <w:t xml:space="preserve"> </w:t>
      </w:r>
      <w:r w:rsidR="00AB4023">
        <w:t>Şubat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AB4023">
        <w:t>2,9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</w:t>
      </w:r>
      <w:r w:rsidR="007C155D" w:rsidRPr="009C3D5A">
        <w:lastRenderedPageBreak/>
        <w:t xml:space="preserve">yüzde </w:t>
      </w:r>
      <w:r w:rsidR="0019086A">
        <w:t>3</w:t>
      </w:r>
      <w:r w:rsidR="00AB4023">
        <w:t>3,5</w:t>
      </w:r>
      <w:r w:rsidR="00DC3282">
        <w:t>’</w:t>
      </w:r>
      <w:r w:rsidR="00AB4023">
        <w:t>t</w:t>
      </w:r>
      <w:r w:rsidR="000048F7">
        <w:t>ir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</w:t>
      </w:r>
      <w:r w:rsidR="00AB4023">
        <w:t>6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AB4023">
        <w:t>li ürünlerin payı ise yüzde 42,4</w:t>
      </w:r>
      <w:r w:rsidR="005C1EC6">
        <w:t>’</w:t>
      </w:r>
      <w:r w:rsidR="00AB4023">
        <w:t>tü</w:t>
      </w:r>
      <w:r w:rsidR="000048F7">
        <w:t>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8A" w:rsidRDefault="00E2368A" w:rsidP="00F43AC2">
      <w:pPr>
        <w:spacing w:after="0" w:line="240" w:lineRule="auto"/>
      </w:pPr>
      <w:r>
        <w:separator/>
      </w:r>
    </w:p>
  </w:endnote>
  <w:endnote w:type="continuationSeparator" w:id="0">
    <w:p w:rsidR="00E2368A" w:rsidRDefault="00E2368A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3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8A" w:rsidRDefault="00E2368A" w:rsidP="00F43AC2">
      <w:pPr>
        <w:spacing w:after="0" w:line="240" w:lineRule="auto"/>
      </w:pPr>
      <w:r>
        <w:separator/>
      </w:r>
    </w:p>
  </w:footnote>
  <w:footnote w:type="continuationSeparator" w:id="0">
    <w:p w:rsidR="00E2368A" w:rsidRDefault="00E2368A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048F7"/>
    <w:rsid w:val="00011017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17F24"/>
    <w:rsid w:val="00134344"/>
    <w:rsid w:val="001603F9"/>
    <w:rsid w:val="00162B88"/>
    <w:rsid w:val="0019086A"/>
    <w:rsid w:val="00197079"/>
    <w:rsid w:val="001A3903"/>
    <w:rsid w:val="001F4B97"/>
    <w:rsid w:val="001F5C25"/>
    <w:rsid w:val="00207511"/>
    <w:rsid w:val="00207D30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C7332"/>
    <w:rsid w:val="002E5CA2"/>
    <w:rsid w:val="002E6E48"/>
    <w:rsid w:val="00314005"/>
    <w:rsid w:val="00314CD6"/>
    <w:rsid w:val="003367F9"/>
    <w:rsid w:val="00392ED5"/>
    <w:rsid w:val="003944A2"/>
    <w:rsid w:val="003D0EA9"/>
    <w:rsid w:val="003F4F3D"/>
    <w:rsid w:val="00412B6A"/>
    <w:rsid w:val="00421039"/>
    <w:rsid w:val="004602F8"/>
    <w:rsid w:val="00472AF7"/>
    <w:rsid w:val="0048257F"/>
    <w:rsid w:val="004A5050"/>
    <w:rsid w:val="004C5FAB"/>
    <w:rsid w:val="004D49AB"/>
    <w:rsid w:val="004E0C1E"/>
    <w:rsid w:val="004E2F7D"/>
    <w:rsid w:val="004E7AA7"/>
    <w:rsid w:val="004F0E9E"/>
    <w:rsid w:val="00501781"/>
    <w:rsid w:val="005123EB"/>
    <w:rsid w:val="00540D42"/>
    <w:rsid w:val="00577896"/>
    <w:rsid w:val="00587E0B"/>
    <w:rsid w:val="005A735F"/>
    <w:rsid w:val="005B007A"/>
    <w:rsid w:val="005B74E2"/>
    <w:rsid w:val="005C02CC"/>
    <w:rsid w:val="005C1EC6"/>
    <w:rsid w:val="005C2EA6"/>
    <w:rsid w:val="005D6CB6"/>
    <w:rsid w:val="005E55BC"/>
    <w:rsid w:val="006006DA"/>
    <w:rsid w:val="0060716F"/>
    <w:rsid w:val="006306C8"/>
    <w:rsid w:val="00634A65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D5B37"/>
    <w:rsid w:val="006E3C93"/>
    <w:rsid w:val="006E7CD2"/>
    <w:rsid w:val="006F66DA"/>
    <w:rsid w:val="00714CDE"/>
    <w:rsid w:val="00735D9A"/>
    <w:rsid w:val="00764636"/>
    <w:rsid w:val="00790C7B"/>
    <w:rsid w:val="007A222E"/>
    <w:rsid w:val="007C155D"/>
    <w:rsid w:val="007C407A"/>
    <w:rsid w:val="007C538F"/>
    <w:rsid w:val="007D10EA"/>
    <w:rsid w:val="007F367A"/>
    <w:rsid w:val="007F50E4"/>
    <w:rsid w:val="00801235"/>
    <w:rsid w:val="00820484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F7528"/>
    <w:rsid w:val="00913A90"/>
    <w:rsid w:val="009435E7"/>
    <w:rsid w:val="0094521C"/>
    <w:rsid w:val="0095258A"/>
    <w:rsid w:val="00955246"/>
    <w:rsid w:val="0097055D"/>
    <w:rsid w:val="0097436F"/>
    <w:rsid w:val="00981AD3"/>
    <w:rsid w:val="009C3D5A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B4023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C376F"/>
    <w:rsid w:val="00CD4865"/>
    <w:rsid w:val="00CE7503"/>
    <w:rsid w:val="00CF2B5C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20164"/>
    <w:rsid w:val="00E2368A"/>
    <w:rsid w:val="00E27E57"/>
    <w:rsid w:val="00E34DEB"/>
    <w:rsid w:val="00E50701"/>
    <w:rsid w:val="00E542E3"/>
    <w:rsid w:val="00E551E6"/>
    <w:rsid w:val="00E57C88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318\&#350;ubat_d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318\&#350;ubat_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848238482384824E-2"/>
          <c:y val="2.4691358024691357E-2"/>
          <c:w val="0.95230352303523036"/>
          <c:h val="0.56089773500534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Sayfa1!$Q$7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Sayfa1!$Q$8:$Q$19</c:f>
              <c:numCache>
                <c:formatCode>0.0</c:formatCode>
                <c:ptCount val="12"/>
                <c:pt idx="0">
                  <c:v>11.248529892000001</c:v>
                </c:pt>
                <c:pt idx="1">
                  <c:v>12.090195839</c:v>
                </c:pt>
                <c:pt idx="2">
                  <c:v>14.471406365</c:v>
                </c:pt>
                <c:pt idx="3">
                  <c:v>12.860356715</c:v>
                </c:pt>
                <c:pt idx="4">
                  <c:v>13.583001073</c:v>
                </c:pt>
                <c:pt idx="5">
                  <c:v>13.125849265000001</c:v>
                </c:pt>
                <c:pt idx="6">
                  <c:v>12.612605394999999</c:v>
                </c:pt>
                <c:pt idx="7">
                  <c:v>13.248865279999999</c:v>
                </c:pt>
                <c:pt idx="8">
                  <c:v>11.810626489000001</c:v>
                </c:pt>
                <c:pt idx="9">
                  <c:v>13.913855159000001</c:v>
                </c:pt>
                <c:pt idx="10">
                  <c:v>14.190415066</c:v>
                </c:pt>
                <c:pt idx="11">
                  <c:v>13.850731189999999</c:v>
                </c:pt>
              </c:numCache>
            </c:numRef>
          </c:val>
        </c:ser>
        <c:ser>
          <c:idx val="1"/>
          <c:order val="1"/>
          <c:tx>
            <c:strRef>
              <c:f>Sayfa1!$R$7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Sayfa1!$R$8:$R$19</c:f>
              <c:numCache>
                <c:formatCode>0.0</c:formatCode>
                <c:ptCount val="12"/>
                <c:pt idx="0">
                  <c:v>12.44528989</c:v>
                </c:pt>
                <c:pt idx="1">
                  <c:v>13.175500869999999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5858304"/>
        <c:axId val="225859840"/>
      </c:barChart>
      <c:catAx>
        <c:axId val="225858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225859840"/>
        <c:crosses val="autoZero"/>
        <c:auto val="1"/>
        <c:lblAlgn val="ctr"/>
        <c:lblOffset val="100"/>
        <c:noMultiLvlLbl val="0"/>
      </c:catAx>
      <c:valAx>
        <c:axId val="22585984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258583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Sayfa1!$Q$22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Sayfa1!$Q$23:$Q$34</c:f>
              <c:numCache>
                <c:formatCode>0.0</c:formatCode>
                <c:ptCount val="12"/>
                <c:pt idx="0">
                  <c:v>15.591785945</c:v>
                </c:pt>
                <c:pt idx="1">
                  <c:v>15.826012627000001</c:v>
                </c:pt>
                <c:pt idx="2">
                  <c:v>19.017677627000001</c:v>
                </c:pt>
                <c:pt idx="3">
                  <c:v>17.787916226</c:v>
                </c:pt>
                <c:pt idx="4">
                  <c:v>20.923390063999999</c:v>
                </c:pt>
                <c:pt idx="5">
                  <c:v>19.176992381999998</c:v>
                </c:pt>
                <c:pt idx="6">
                  <c:v>21.490875074000002</c:v>
                </c:pt>
                <c:pt idx="7">
                  <c:v>19.162076024999998</c:v>
                </c:pt>
                <c:pt idx="8">
                  <c:v>19.978640573</c:v>
                </c:pt>
                <c:pt idx="9">
                  <c:v>21.217248563999998</c:v>
                </c:pt>
                <c:pt idx="10">
                  <c:v>20.540677930000001</c:v>
                </c:pt>
                <c:pt idx="11">
                  <c:v>23.085263922999999</c:v>
                </c:pt>
              </c:numCache>
            </c:numRef>
          </c:val>
        </c:ser>
        <c:ser>
          <c:idx val="1"/>
          <c:order val="1"/>
          <c:tx>
            <c:strRef>
              <c:f>Sayfa1!$R$22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Sayfa1!$R$23:$R$34</c:f>
              <c:numCache>
                <c:formatCode>0.0</c:formatCode>
                <c:ptCount val="12"/>
                <c:pt idx="0">
                  <c:v>21.522909427000002</c:v>
                </c:pt>
                <c:pt idx="1">
                  <c:v>18.936209335999997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5984512"/>
        <c:axId val="225986048"/>
      </c:barChart>
      <c:catAx>
        <c:axId val="225984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225986048"/>
        <c:crosses val="autoZero"/>
        <c:auto val="1"/>
        <c:lblAlgn val="ctr"/>
        <c:lblOffset val="100"/>
        <c:noMultiLvlLbl val="0"/>
      </c:catAx>
      <c:valAx>
        <c:axId val="22598604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25984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2ED9A-E91E-4387-953B-5DD6D4AA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Taylan</cp:lastModifiedBy>
  <cp:revision>44</cp:revision>
  <dcterms:created xsi:type="dcterms:W3CDTF">2017-12-01T06:18:00Z</dcterms:created>
  <dcterms:modified xsi:type="dcterms:W3CDTF">2018-04-02T06:44:00Z</dcterms:modified>
</cp:coreProperties>
</file>